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A7A" w:rsidRDefault="00994E53">
      <w:pPr>
        <w:tabs>
          <w:tab w:val="left" w:pos="3823"/>
          <w:tab w:val="right" w:pos="9638"/>
        </w:tabs>
        <w:spacing w:before="200"/>
        <w:jc w:val="right"/>
        <w:rPr>
          <w:b/>
          <w:sz w:val="24"/>
          <w:szCs w:val="24"/>
        </w:rPr>
      </w:pPr>
      <w:bookmarkStart w:id="0" w:name="_heading=h.gjdgxs" w:colFirst="0" w:colLast="0"/>
      <w:bookmarkStart w:id="1" w:name="_GoBack"/>
      <w:bookmarkEnd w:id="0"/>
      <w:bookmarkEnd w:id="1"/>
      <w:r>
        <w:rPr>
          <w:b/>
          <w:sz w:val="32"/>
          <w:szCs w:val="32"/>
        </w:rPr>
        <w:t>Sworn statement of a new beneficiary</w:t>
      </w:r>
    </w:p>
    <w:p w:rsidR="00D95A7A" w:rsidRDefault="00994E53">
      <w:pPr>
        <w:spacing w:before="240" w:line="360" w:lineRule="auto"/>
        <w:rPr>
          <w:b/>
        </w:rPr>
      </w:pPr>
      <w:r>
        <w:rPr>
          <w:b/>
          <w:sz w:val="24"/>
          <w:szCs w:val="24"/>
        </w:rPr>
        <w:t>Project code</w:t>
      </w:r>
      <w:r>
        <w:t xml:space="preserve"> </w:t>
      </w:r>
      <w:r>
        <w:rPr>
          <w:b/>
        </w:rPr>
        <w:t>...................................................................................................</w:t>
      </w:r>
    </w:p>
    <w:p w:rsidR="00D95A7A" w:rsidRDefault="00994E53">
      <w:pPr>
        <w:spacing w:before="240" w:line="360" w:lineRule="auto"/>
        <w:rPr>
          <w:b/>
        </w:rPr>
      </w:pPr>
      <w:r>
        <w:rPr>
          <w:b/>
          <w:sz w:val="24"/>
          <w:szCs w:val="24"/>
        </w:rPr>
        <w:t>Project title</w:t>
      </w:r>
      <w:r>
        <w:t xml:space="preserve"> </w:t>
      </w:r>
      <w:r>
        <w:rPr>
          <w:b/>
        </w:rPr>
        <w:t>...................................................................................................</w:t>
      </w:r>
    </w:p>
    <w:p w:rsidR="00D95A7A" w:rsidRDefault="00D95A7A">
      <w:pPr>
        <w:spacing w:before="240" w:line="360" w:lineRule="auto"/>
        <w:rPr>
          <w:b/>
        </w:rPr>
      </w:pPr>
    </w:p>
    <w:p w:rsidR="00D95A7A" w:rsidRDefault="00994E53">
      <w:pPr>
        <w:spacing w:line="360" w:lineRule="auto"/>
      </w:pPr>
      <w:r>
        <w:rPr>
          <w:b/>
        </w:rPr>
        <w:t>I.</w:t>
      </w:r>
      <w:r>
        <w:rPr>
          <w:b/>
        </w:rPr>
        <w:tab/>
        <w:t>New Project Promoter or project partner (beneficiary)</w:t>
      </w:r>
    </w:p>
    <w:p w:rsidR="00D95A7A" w:rsidRDefault="00994E53">
      <w:pPr>
        <w:spacing w:line="360" w:lineRule="auto"/>
      </w:pPr>
      <w:r>
        <w:t>Title: …………………………………………………………</w:t>
      </w:r>
    </w:p>
    <w:p w:rsidR="00D95A7A" w:rsidRDefault="00994E53">
      <w:pPr>
        <w:spacing w:line="360" w:lineRule="auto"/>
        <w:rPr>
          <w:b/>
        </w:rPr>
      </w:pPr>
      <w:r>
        <w:t>Company Reg. No.:    …………………………………………………………..</w:t>
      </w:r>
    </w:p>
    <w:p w:rsidR="00D95A7A" w:rsidRDefault="00994E53">
      <w:pPr>
        <w:spacing w:line="360" w:lineRule="auto"/>
        <w:jc w:val="both"/>
      </w:pPr>
      <w:r>
        <w:rPr>
          <w:b/>
        </w:rPr>
        <w:t>II.</w:t>
      </w:r>
      <w:r>
        <w:rPr>
          <w:b/>
        </w:rPr>
        <w:tab/>
        <w:t xml:space="preserve">Sworn statement </w:t>
      </w:r>
    </w:p>
    <w:p w:rsidR="00D95A7A" w:rsidRDefault="00994E53">
      <w:pPr>
        <w:spacing w:after="120" w:line="360" w:lineRule="auto"/>
        <w:jc w:val="both"/>
      </w:pPr>
      <w:r>
        <w:t>I</w:t>
      </w:r>
      <w:r>
        <w:t xml:space="preserve"> honestly declare that:</w:t>
      </w:r>
    </w:p>
    <w:p w:rsidR="00D95A7A" w:rsidRDefault="00994E53">
      <w:pPr>
        <w:numPr>
          <w:ilvl w:val="0"/>
          <w:numId w:val="1"/>
        </w:numPr>
        <w:pBdr>
          <w:top w:val="nil"/>
          <w:left w:val="nil"/>
          <w:bottom w:val="nil"/>
          <w:right w:val="nil"/>
          <w:between w:val="nil"/>
        </w:pBdr>
        <w:tabs>
          <w:tab w:val="left" w:pos="5308"/>
        </w:tabs>
        <w:spacing w:after="0"/>
        <w:jc w:val="both"/>
        <w:rPr>
          <w:color w:val="000000"/>
        </w:rPr>
      </w:pPr>
      <w:bookmarkStart w:id="2" w:name="_heading=h.30j0zll" w:colFirst="0" w:colLast="0"/>
      <w:bookmarkEnd w:id="2"/>
      <w:r>
        <w:t>The beneficiary meets all the conditions for the type of organisation, which it declares to be in the  Declaration of the type of organisation form, i.e. either conditions for one of the enterprise categories (small enterprise, medi</w:t>
      </w:r>
      <w:r>
        <w:t>um-sized enterprise, large enterprise) pursuant to the Commission Regulation</w:t>
      </w:r>
      <w:r>
        <w:rPr>
          <w:vertAlign w:val="superscript"/>
        </w:rPr>
        <w:footnoteReference w:id="1"/>
      </w:r>
      <w:r>
        <w:t>, or conditions specified in the definition of research organizations in the Regulation, or conditions for other type of beneficiary as defined in the Call documentation/Funding r</w:t>
      </w:r>
      <w:r>
        <w:t>ules for the Czech applicant for ERA NET cofund.</w:t>
      </w:r>
    </w:p>
    <w:p w:rsidR="00D95A7A" w:rsidRDefault="00994E53">
      <w:pPr>
        <w:pBdr>
          <w:top w:val="nil"/>
          <w:left w:val="nil"/>
          <w:bottom w:val="nil"/>
          <w:right w:val="nil"/>
          <w:between w:val="nil"/>
        </w:pBdr>
        <w:tabs>
          <w:tab w:val="left" w:pos="5308"/>
        </w:tabs>
        <w:spacing w:after="0"/>
        <w:ind w:left="720"/>
        <w:jc w:val="both"/>
        <w:rPr>
          <w:color w:val="000000"/>
        </w:rPr>
      </w:pPr>
      <w:r>
        <w:rPr>
          <w:color w:val="000000"/>
        </w:rPr>
        <w:t xml:space="preserve"> </w:t>
      </w:r>
    </w:p>
    <w:p w:rsidR="00D95A7A" w:rsidRDefault="00994E53">
      <w:pPr>
        <w:numPr>
          <w:ilvl w:val="0"/>
          <w:numId w:val="1"/>
        </w:numPr>
        <w:pBdr>
          <w:top w:val="nil"/>
          <w:left w:val="nil"/>
          <w:bottom w:val="nil"/>
          <w:right w:val="nil"/>
          <w:between w:val="nil"/>
        </w:pBdr>
        <w:tabs>
          <w:tab w:val="left" w:pos="5308"/>
        </w:tabs>
        <w:spacing w:after="0"/>
        <w:jc w:val="both"/>
        <w:rPr>
          <w:color w:val="000000"/>
        </w:rPr>
      </w:pPr>
      <w:r>
        <w:t>The beneficiary submitted within the request for change an appropriate licence to carry out the intended activities, if so required by a special legal regulation  (section 18 (2)(b) of Act no. 130/2002 Coll.</w:t>
      </w:r>
      <w:r>
        <w:rPr>
          <w:color w:val="000000"/>
          <w:vertAlign w:val="superscript"/>
        </w:rPr>
        <w:footnoteReference w:id="2"/>
      </w:r>
      <w:r>
        <w:rPr>
          <w:color w:val="000000"/>
        </w:rPr>
        <w:t>).</w:t>
      </w:r>
      <w:r>
        <w:rPr>
          <w:color w:val="000000"/>
        </w:rPr>
        <w:tab/>
      </w:r>
    </w:p>
    <w:p w:rsidR="00D95A7A" w:rsidRDefault="00994E53">
      <w:pPr>
        <w:pBdr>
          <w:top w:val="nil"/>
          <w:left w:val="nil"/>
          <w:bottom w:val="nil"/>
          <w:right w:val="nil"/>
          <w:between w:val="nil"/>
        </w:pBdr>
        <w:tabs>
          <w:tab w:val="left" w:pos="5308"/>
        </w:tabs>
        <w:spacing w:after="0"/>
        <w:jc w:val="both"/>
        <w:rPr>
          <w:color w:val="000000"/>
        </w:rPr>
      </w:pPr>
      <w:r>
        <w:rPr>
          <w:color w:val="000000"/>
        </w:rPr>
        <w:t xml:space="preserve"> </w:t>
      </w:r>
    </w:p>
    <w:p w:rsidR="00D95A7A" w:rsidRDefault="00994E53">
      <w:pPr>
        <w:keepNext/>
        <w:widowControl/>
        <w:numPr>
          <w:ilvl w:val="0"/>
          <w:numId w:val="1"/>
        </w:numPr>
        <w:pBdr>
          <w:top w:val="nil"/>
          <w:left w:val="nil"/>
          <w:bottom w:val="nil"/>
          <w:right w:val="nil"/>
          <w:between w:val="nil"/>
        </w:pBdr>
        <w:tabs>
          <w:tab w:val="left" w:pos="5308"/>
        </w:tabs>
        <w:spacing w:after="0"/>
        <w:ind w:left="714" w:hanging="357"/>
        <w:jc w:val="both"/>
        <w:rPr>
          <w:color w:val="000000"/>
        </w:rPr>
      </w:pPr>
      <w:r>
        <w:t xml:space="preserve">The beneficiary is not in liquidation and </w:t>
      </w:r>
      <w:r>
        <w:t>its insolvency or impending bankruptcy is not being dealt with in insolvency proceedings, neither such bankruptcy petition was denied for lack of property (section 18 (2)(c) of Act no. 130/2002 Coll.).</w:t>
      </w:r>
    </w:p>
    <w:p w:rsidR="00D95A7A" w:rsidRDefault="00D95A7A">
      <w:pPr>
        <w:keepNext/>
        <w:widowControl/>
        <w:pBdr>
          <w:top w:val="nil"/>
          <w:left w:val="nil"/>
          <w:bottom w:val="nil"/>
          <w:right w:val="nil"/>
          <w:between w:val="nil"/>
        </w:pBdr>
        <w:tabs>
          <w:tab w:val="left" w:pos="5308"/>
        </w:tabs>
        <w:spacing w:after="0"/>
        <w:jc w:val="both"/>
        <w:rPr>
          <w:color w:val="000000"/>
        </w:rPr>
      </w:pPr>
    </w:p>
    <w:p w:rsidR="00D95A7A" w:rsidRDefault="00994E53">
      <w:pPr>
        <w:numPr>
          <w:ilvl w:val="0"/>
          <w:numId w:val="1"/>
        </w:numPr>
        <w:pBdr>
          <w:top w:val="nil"/>
          <w:left w:val="nil"/>
          <w:bottom w:val="nil"/>
          <w:right w:val="nil"/>
          <w:between w:val="nil"/>
        </w:pBdr>
        <w:tabs>
          <w:tab w:val="left" w:pos="5308"/>
        </w:tabs>
        <w:spacing w:after="0"/>
        <w:jc w:val="both"/>
        <w:rPr>
          <w:color w:val="000000"/>
        </w:rPr>
      </w:pPr>
      <w:bookmarkStart w:id="3" w:name="_heading=h.1fob9te" w:colFirst="0" w:colLast="0"/>
      <w:bookmarkEnd w:id="3"/>
      <w:r>
        <w:t xml:space="preserve">The beneficiary has settled all debts in relation to the state budget or the budget of local government units and other debts to the state, state fund, health insurance or the Czech Social Security </w:t>
      </w:r>
      <w:r>
        <w:lastRenderedPageBreak/>
        <w:t>Administration (section 18 (2)(d) of Act no. 130/2002 Coll</w:t>
      </w:r>
      <w:r>
        <w:t>.).</w:t>
      </w:r>
    </w:p>
    <w:p w:rsidR="00D95A7A" w:rsidRDefault="00994E53">
      <w:pPr>
        <w:numPr>
          <w:ilvl w:val="0"/>
          <w:numId w:val="1"/>
        </w:numPr>
        <w:pBdr>
          <w:top w:val="nil"/>
          <w:left w:val="nil"/>
          <w:bottom w:val="nil"/>
          <w:right w:val="nil"/>
          <w:between w:val="nil"/>
        </w:pBdr>
        <w:tabs>
          <w:tab w:val="left" w:pos="5308"/>
        </w:tabs>
        <w:spacing w:after="0"/>
        <w:jc w:val="both"/>
        <w:rPr>
          <w:color w:val="000000"/>
        </w:rPr>
      </w:pPr>
      <w:r>
        <w:t>The beneficiary, if a natural person, has not been convicted of a criminal offense, the matter of which is related to the business of the beneficiary, or of an economic crime or a crime against property, or is considered so under the law.</w:t>
      </w:r>
    </w:p>
    <w:p w:rsidR="00D95A7A" w:rsidRDefault="00D95A7A">
      <w:pPr>
        <w:pBdr>
          <w:top w:val="nil"/>
          <w:left w:val="nil"/>
          <w:bottom w:val="nil"/>
          <w:right w:val="nil"/>
          <w:between w:val="nil"/>
        </w:pBdr>
        <w:tabs>
          <w:tab w:val="left" w:pos="5308"/>
        </w:tabs>
        <w:spacing w:after="0"/>
        <w:jc w:val="both"/>
        <w:rPr>
          <w:color w:val="000000"/>
        </w:rPr>
      </w:pPr>
    </w:p>
    <w:p w:rsidR="00D95A7A" w:rsidRDefault="00994E53">
      <w:pPr>
        <w:pBdr>
          <w:top w:val="nil"/>
          <w:left w:val="nil"/>
          <w:bottom w:val="nil"/>
          <w:right w:val="nil"/>
          <w:between w:val="nil"/>
        </w:pBdr>
        <w:tabs>
          <w:tab w:val="left" w:pos="5308"/>
        </w:tabs>
        <w:spacing w:after="0"/>
        <w:ind w:left="720" w:hanging="720"/>
        <w:jc w:val="both"/>
        <w:rPr>
          <w:color w:val="000000"/>
          <w:highlight w:val="yellow"/>
        </w:rPr>
      </w:pPr>
      <w:r>
        <w:t xml:space="preserve">    </w:t>
      </w:r>
      <w:r>
        <w:tab/>
      </w:r>
      <w:r>
        <w:t>If the beneficiary is a legal person, it has not been convicted of a criminal offense, the matter of which is related to the business (activity) of the beneficiary, or of an economic crime or a crime against property, or is considered so under the law (sec</w:t>
      </w:r>
      <w:r>
        <w:t>tion 18 (2)(e) of Act no. 130/2002 Coll.).</w:t>
      </w:r>
    </w:p>
    <w:p w:rsidR="00D95A7A" w:rsidRDefault="00D95A7A">
      <w:pPr>
        <w:pBdr>
          <w:top w:val="nil"/>
          <w:left w:val="nil"/>
          <w:bottom w:val="nil"/>
          <w:right w:val="nil"/>
          <w:between w:val="nil"/>
        </w:pBdr>
        <w:tabs>
          <w:tab w:val="left" w:pos="5308"/>
        </w:tabs>
        <w:spacing w:after="0"/>
        <w:jc w:val="both"/>
        <w:rPr>
          <w:color w:val="000000"/>
        </w:rPr>
      </w:pPr>
    </w:p>
    <w:p w:rsidR="00D95A7A" w:rsidRDefault="00994E53">
      <w:pPr>
        <w:numPr>
          <w:ilvl w:val="0"/>
          <w:numId w:val="1"/>
        </w:numPr>
        <w:pBdr>
          <w:top w:val="nil"/>
          <w:left w:val="nil"/>
          <w:bottom w:val="nil"/>
          <w:right w:val="nil"/>
          <w:between w:val="nil"/>
        </w:pBdr>
        <w:tabs>
          <w:tab w:val="left" w:pos="5308"/>
        </w:tabs>
        <w:spacing w:after="0"/>
        <w:jc w:val="both"/>
        <w:rPr>
          <w:color w:val="000000"/>
        </w:rPr>
      </w:pPr>
      <w:r>
        <w:t xml:space="preserve">None of the members of the statutory body has been convicted of a criminal offense, the matter of which is related to the business of the beneficiary, or of an economic crime or a crime against property (section </w:t>
      </w:r>
      <w:r>
        <w:t>18 (2)(e) of Act no. 130/2002 Coll. and section 18 (4)(b) of Act no. 130/2002 Coll.).</w:t>
      </w:r>
    </w:p>
    <w:p w:rsidR="00D95A7A" w:rsidRDefault="00D95A7A">
      <w:pPr>
        <w:pBdr>
          <w:top w:val="nil"/>
          <w:left w:val="nil"/>
          <w:bottom w:val="nil"/>
          <w:right w:val="nil"/>
          <w:between w:val="nil"/>
        </w:pBdr>
        <w:tabs>
          <w:tab w:val="left" w:pos="5308"/>
        </w:tabs>
        <w:spacing w:after="0"/>
        <w:ind w:left="720"/>
        <w:jc w:val="both"/>
        <w:rPr>
          <w:color w:val="000000"/>
        </w:rPr>
      </w:pPr>
    </w:p>
    <w:p w:rsidR="00D95A7A" w:rsidRDefault="00994E53">
      <w:pPr>
        <w:numPr>
          <w:ilvl w:val="0"/>
          <w:numId w:val="1"/>
        </w:numPr>
        <w:pBdr>
          <w:top w:val="nil"/>
          <w:left w:val="nil"/>
          <w:bottom w:val="nil"/>
          <w:right w:val="nil"/>
          <w:between w:val="nil"/>
        </w:pBdr>
        <w:tabs>
          <w:tab w:val="left" w:pos="5308"/>
        </w:tabs>
        <w:spacing w:after="0"/>
        <w:jc w:val="both"/>
        <w:rPr>
          <w:color w:val="000000"/>
        </w:rPr>
      </w:pPr>
      <w:r>
        <w:t xml:space="preserve">The beneficiary has not received any disciplinary punishment on the execution of professional activities related to the subject of the project </w:t>
      </w:r>
      <w:r>
        <w:t>within the last three years (section 18 (2)(f) of Act no. 130/2002 Coll.).</w:t>
      </w:r>
    </w:p>
    <w:p w:rsidR="00D95A7A" w:rsidRDefault="00D95A7A">
      <w:pPr>
        <w:pBdr>
          <w:top w:val="nil"/>
          <w:left w:val="nil"/>
          <w:bottom w:val="nil"/>
          <w:right w:val="nil"/>
          <w:between w:val="nil"/>
        </w:pBdr>
        <w:tabs>
          <w:tab w:val="left" w:pos="5308"/>
        </w:tabs>
        <w:spacing w:after="0"/>
        <w:jc w:val="both"/>
        <w:rPr>
          <w:color w:val="000000"/>
        </w:rPr>
      </w:pPr>
    </w:p>
    <w:p w:rsidR="00D95A7A" w:rsidRDefault="00994E53">
      <w:pPr>
        <w:numPr>
          <w:ilvl w:val="0"/>
          <w:numId w:val="1"/>
        </w:numPr>
        <w:pBdr>
          <w:top w:val="nil"/>
          <w:left w:val="nil"/>
          <w:bottom w:val="nil"/>
          <w:right w:val="nil"/>
          <w:between w:val="nil"/>
        </w:pBdr>
        <w:tabs>
          <w:tab w:val="left" w:pos="5308"/>
        </w:tabs>
        <w:spacing w:after="0"/>
        <w:jc w:val="both"/>
        <w:rPr>
          <w:color w:val="000000"/>
        </w:rPr>
      </w:pPr>
      <w:r>
        <w:t>The beneficiary is not subject to an unpaid outstanding recovery order following a previous Commission Decision declaring an aid illegal and incompatible with the common market (se</w:t>
      </w:r>
      <w:r>
        <w:t>ction 18 (2)(i) of Act no. 130/2002 Coll.).</w:t>
      </w:r>
    </w:p>
    <w:p w:rsidR="00D95A7A" w:rsidRDefault="00D95A7A">
      <w:pPr>
        <w:pBdr>
          <w:top w:val="nil"/>
          <w:left w:val="nil"/>
          <w:bottom w:val="nil"/>
          <w:right w:val="nil"/>
          <w:between w:val="nil"/>
        </w:pBdr>
        <w:tabs>
          <w:tab w:val="left" w:pos="5308"/>
        </w:tabs>
        <w:spacing w:after="0"/>
        <w:jc w:val="both"/>
        <w:rPr>
          <w:color w:val="000000"/>
        </w:rPr>
      </w:pPr>
    </w:p>
    <w:p w:rsidR="00D95A7A" w:rsidRDefault="00994E53">
      <w:pPr>
        <w:numPr>
          <w:ilvl w:val="0"/>
          <w:numId w:val="1"/>
        </w:numPr>
        <w:pBdr>
          <w:top w:val="nil"/>
          <w:left w:val="nil"/>
          <w:bottom w:val="nil"/>
          <w:right w:val="nil"/>
          <w:between w:val="nil"/>
        </w:pBdr>
        <w:tabs>
          <w:tab w:val="left" w:pos="5308"/>
        </w:tabs>
        <w:spacing w:after="0"/>
        <w:jc w:val="both"/>
        <w:rPr>
          <w:color w:val="000000"/>
        </w:rPr>
      </w:pPr>
      <w:r>
        <w:t>The beneficiary is not a company in difficulty (section 18 (2)(h) of Act no. 130/2002 Coll.).</w:t>
      </w:r>
    </w:p>
    <w:p w:rsidR="00D95A7A" w:rsidRDefault="00D95A7A">
      <w:pPr>
        <w:pBdr>
          <w:top w:val="nil"/>
          <w:left w:val="nil"/>
          <w:bottom w:val="nil"/>
          <w:right w:val="nil"/>
          <w:between w:val="nil"/>
        </w:pBdr>
        <w:tabs>
          <w:tab w:val="left" w:pos="5308"/>
        </w:tabs>
        <w:spacing w:after="0"/>
        <w:jc w:val="both"/>
        <w:rPr>
          <w:color w:val="000000"/>
        </w:rPr>
      </w:pPr>
    </w:p>
    <w:p w:rsidR="00D95A7A" w:rsidRDefault="00994E53">
      <w:pPr>
        <w:numPr>
          <w:ilvl w:val="0"/>
          <w:numId w:val="1"/>
        </w:numPr>
        <w:pBdr>
          <w:top w:val="nil"/>
          <w:left w:val="nil"/>
          <w:bottom w:val="nil"/>
          <w:right w:val="nil"/>
          <w:between w:val="nil"/>
        </w:pBdr>
        <w:tabs>
          <w:tab w:val="left" w:pos="5308"/>
        </w:tabs>
        <w:spacing w:after="600"/>
        <w:ind w:left="714" w:hanging="357"/>
        <w:jc w:val="both"/>
        <w:rPr>
          <w:color w:val="000000"/>
        </w:rPr>
      </w:pPr>
      <w:r>
        <w:t>The beneficiary is not a company, in which a public official or a person controlled by him/her owns a share representing at least 25% of the shareholder participation (section 4c of Act No. 159/2006 Coll., on conflict of interest).</w:t>
      </w:r>
      <w:r>
        <w:rPr>
          <w:color w:val="000000"/>
        </w:rPr>
        <w:t xml:space="preserve"> </w:t>
      </w:r>
      <w:r>
        <w:tab/>
      </w:r>
    </w:p>
    <w:p w:rsidR="00D95A7A" w:rsidRDefault="00994E53">
      <w:pPr>
        <w:tabs>
          <w:tab w:val="left" w:pos="5308"/>
        </w:tabs>
        <w:jc w:val="both"/>
      </w:pPr>
      <w:r>
        <w:t>The beneficiary declar</w:t>
      </w:r>
      <w:r>
        <w:t>es that all information stated in the request for change and documents submitted along with the request for change to the Programme Operator are in accord with the actual situation at the date of submission of the request for change.</w:t>
      </w:r>
    </w:p>
    <w:p w:rsidR="00D95A7A" w:rsidRDefault="00D95A7A">
      <w:pPr>
        <w:tabs>
          <w:tab w:val="left" w:pos="5308"/>
        </w:tabs>
        <w:jc w:val="both"/>
        <w:rPr>
          <w:b/>
        </w:rPr>
      </w:pPr>
    </w:p>
    <w:p w:rsidR="00D95A7A" w:rsidRDefault="00D95A7A">
      <w:pPr>
        <w:tabs>
          <w:tab w:val="left" w:pos="5308"/>
        </w:tabs>
        <w:jc w:val="both"/>
        <w:rPr>
          <w:b/>
        </w:rPr>
      </w:pPr>
    </w:p>
    <w:tbl>
      <w:tblPr>
        <w:tblStyle w:val="a0"/>
        <w:tblW w:w="97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62"/>
        <w:gridCol w:w="3716"/>
      </w:tblGrid>
      <w:tr w:rsidR="00D95A7A">
        <w:tc>
          <w:tcPr>
            <w:tcW w:w="6062" w:type="dxa"/>
            <w:vAlign w:val="center"/>
          </w:tcPr>
          <w:p w:rsidR="00D95A7A" w:rsidRDefault="00994E53">
            <w:pPr>
              <w:widowControl/>
              <w:spacing w:before="120" w:after="0"/>
              <w:rPr>
                <w:b/>
                <w:highlight w:val="yellow"/>
              </w:rPr>
            </w:pPr>
            <w:r>
              <w:t xml:space="preserve">In </w:t>
            </w:r>
            <w:r>
              <w:rPr>
                <w:color w:val="808080"/>
                <w:highlight w:val="yellow"/>
              </w:rPr>
              <w:t>Click here and in</w:t>
            </w:r>
            <w:r>
              <w:rPr>
                <w:color w:val="808080"/>
                <w:highlight w:val="yellow"/>
              </w:rPr>
              <w:t>sert text.</w:t>
            </w:r>
            <w:r>
              <w:t xml:space="preserve"> on </w:t>
            </w:r>
            <w:r>
              <w:rPr>
                <w:highlight w:val="yellow"/>
              </w:rPr>
              <w:t>DD. MM. RRRR</w:t>
            </w:r>
          </w:p>
        </w:tc>
        <w:tc>
          <w:tcPr>
            <w:tcW w:w="3716" w:type="dxa"/>
            <w:tcBorders>
              <w:bottom w:val="single" w:sz="4" w:space="0" w:color="000000"/>
            </w:tcBorders>
            <w:vAlign w:val="center"/>
          </w:tcPr>
          <w:p w:rsidR="00D95A7A" w:rsidRDefault="00D95A7A">
            <w:pPr>
              <w:widowControl/>
              <w:spacing w:before="120" w:after="0" w:line="360" w:lineRule="auto"/>
              <w:jc w:val="center"/>
              <w:rPr>
                <w:b/>
              </w:rPr>
            </w:pPr>
          </w:p>
        </w:tc>
      </w:tr>
      <w:tr w:rsidR="00D95A7A">
        <w:tc>
          <w:tcPr>
            <w:tcW w:w="6062" w:type="dxa"/>
            <w:vAlign w:val="center"/>
          </w:tcPr>
          <w:p w:rsidR="00D95A7A" w:rsidRDefault="00D95A7A">
            <w:pPr>
              <w:widowControl/>
              <w:spacing w:before="120" w:after="0" w:line="360" w:lineRule="auto"/>
              <w:rPr>
                <w:b/>
              </w:rPr>
            </w:pPr>
          </w:p>
        </w:tc>
        <w:tc>
          <w:tcPr>
            <w:tcW w:w="3716" w:type="dxa"/>
            <w:tcBorders>
              <w:top w:val="single" w:sz="4" w:space="0" w:color="000000"/>
            </w:tcBorders>
            <w:vAlign w:val="center"/>
          </w:tcPr>
          <w:p w:rsidR="00D95A7A" w:rsidRDefault="00994E53">
            <w:pPr>
              <w:widowControl/>
              <w:spacing w:before="120" w:after="0" w:line="360" w:lineRule="auto"/>
              <w:jc w:val="center"/>
              <w:rPr>
                <w:b/>
              </w:rPr>
            </w:pPr>
            <w:r>
              <w:t>signature</w:t>
            </w:r>
          </w:p>
        </w:tc>
      </w:tr>
    </w:tbl>
    <w:p w:rsidR="00D95A7A" w:rsidRDefault="00D95A7A">
      <w:pPr>
        <w:widowControl/>
        <w:spacing w:before="120" w:after="0" w:line="360" w:lineRule="auto"/>
        <w:jc w:val="both"/>
        <w:rPr>
          <w:b/>
        </w:rPr>
      </w:pPr>
    </w:p>
    <w:sectPr w:rsidR="00D95A7A">
      <w:headerReference w:type="default" r:id="rId8"/>
      <w:footerReference w:type="default" r:id="rId9"/>
      <w:headerReference w:type="first" r:id="rId10"/>
      <w:footerReference w:type="first" r:id="rId11"/>
      <w:pgSz w:w="11906" w:h="16838"/>
      <w:pgMar w:top="1134" w:right="1134" w:bottom="1134" w:left="1134" w:header="36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53" w:rsidRDefault="00994E53">
      <w:pPr>
        <w:spacing w:after="0" w:line="240" w:lineRule="auto"/>
      </w:pPr>
      <w:r>
        <w:separator/>
      </w:r>
    </w:p>
  </w:endnote>
  <w:endnote w:type="continuationSeparator" w:id="0">
    <w:p w:rsidR="00994E53" w:rsidRDefault="0099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A7A" w:rsidRDefault="00994E53">
    <w:pPr>
      <w:widowControl/>
      <w:tabs>
        <w:tab w:val="center" w:pos="4820"/>
        <w:tab w:val="right" w:pos="9638"/>
      </w:tabs>
      <w:spacing w:after="0" w:line="240" w:lineRule="auto"/>
      <w:jc w:val="center"/>
      <w:rPr>
        <w:rFonts w:ascii="Cambria" w:eastAsia="Cambria" w:hAnsi="Cambria" w:cs="Cambria"/>
        <w:sz w:val="16"/>
        <w:szCs w:val="16"/>
      </w:rPr>
    </w:pPr>
    <w:r>
      <w:rPr>
        <w:sz w:val="16"/>
        <w:szCs w:val="16"/>
      </w:rPr>
      <w:tab/>
      <w:t xml:space="preserve">Page </w:t>
    </w:r>
    <w:r>
      <w:rPr>
        <w:b/>
        <w:sz w:val="16"/>
        <w:szCs w:val="16"/>
      </w:rPr>
      <w:fldChar w:fldCharType="begin"/>
    </w:r>
    <w:r>
      <w:rPr>
        <w:b/>
        <w:sz w:val="16"/>
        <w:szCs w:val="16"/>
      </w:rPr>
      <w:instrText>PAGE</w:instrText>
    </w:r>
    <w:r w:rsidR="003A522B">
      <w:rPr>
        <w:b/>
        <w:sz w:val="16"/>
        <w:szCs w:val="16"/>
      </w:rPr>
      <w:fldChar w:fldCharType="separate"/>
    </w:r>
    <w:r w:rsidR="003A522B">
      <w:rPr>
        <w:b/>
        <w:noProof/>
        <w:sz w:val="16"/>
        <w:szCs w:val="16"/>
      </w:rPr>
      <w:t>1</w:t>
    </w:r>
    <w:r>
      <w:rPr>
        <w:b/>
        <w:sz w:val="16"/>
        <w:szCs w:val="16"/>
      </w:rPr>
      <w:fldChar w:fldCharType="end"/>
    </w:r>
    <w:r>
      <w:rPr>
        <w:b/>
        <w:sz w:val="16"/>
        <w:szCs w:val="16"/>
      </w:rPr>
      <w:t xml:space="preserve"> </w:t>
    </w:r>
    <w:r>
      <w:rPr>
        <w:sz w:val="16"/>
        <w:szCs w:val="16"/>
      </w:rPr>
      <w:t xml:space="preserve">z </w:t>
    </w:r>
    <w:r>
      <w:rPr>
        <w:b/>
        <w:sz w:val="16"/>
        <w:szCs w:val="16"/>
      </w:rPr>
      <w:fldChar w:fldCharType="begin"/>
    </w:r>
    <w:r>
      <w:rPr>
        <w:b/>
        <w:sz w:val="16"/>
        <w:szCs w:val="16"/>
      </w:rPr>
      <w:instrText>NUMPAGES</w:instrText>
    </w:r>
    <w:r w:rsidR="003A522B">
      <w:rPr>
        <w:b/>
        <w:sz w:val="16"/>
        <w:szCs w:val="16"/>
      </w:rPr>
      <w:fldChar w:fldCharType="separate"/>
    </w:r>
    <w:r w:rsidR="003A522B">
      <w:rPr>
        <w:b/>
        <w:noProof/>
        <w:sz w:val="16"/>
        <w:szCs w:val="16"/>
      </w:rPr>
      <w:t>1</w:t>
    </w:r>
    <w:r>
      <w:rPr>
        <w:b/>
        <w:sz w:val="16"/>
        <w:szCs w:val="16"/>
      </w:rPr>
      <w:fldChar w:fldCharType="end"/>
    </w:r>
    <w:r>
      <w:rPr>
        <w:sz w:val="16"/>
        <w:szCs w:val="16"/>
      </w:rPr>
      <w:tab/>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A7A" w:rsidRDefault="00D95A7A">
    <w:pPr>
      <w:tabs>
        <w:tab w:val="center" w:pos="4536"/>
        <w:tab w:val="right" w:pos="9072"/>
      </w:tabs>
      <w:spacing w:after="68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53" w:rsidRDefault="00994E53">
      <w:pPr>
        <w:spacing w:after="0" w:line="240" w:lineRule="auto"/>
      </w:pPr>
      <w:r>
        <w:separator/>
      </w:r>
    </w:p>
  </w:footnote>
  <w:footnote w:type="continuationSeparator" w:id="0">
    <w:p w:rsidR="00994E53" w:rsidRDefault="00994E53">
      <w:pPr>
        <w:spacing w:after="0" w:line="240" w:lineRule="auto"/>
      </w:pPr>
      <w:r>
        <w:continuationSeparator/>
      </w:r>
    </w:p>
  </w:footnote>
  <w:footnote w:id="1">
    <w:p w:rsidR="00D95A7A" w:rsidRDefault="00994E53">
      <w:pPr>
        <w:pBdr>
          <w:top w:val="nil"/>
          <w:left w:val="nil"/>
          <w:bottom w:val="nil"/>
          <w:right w:val="nil"/>
          <w:between w:val="nil"/>
        </w:pBdr>
        <w:spacing w:after="12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highlight w:val="white"/>
        </w:rPr>
        <w:t>Commission Regulation (EU) No. 651/2014 from 17th June 2014 that, in accordance with articles 107 and 108 of the Treaty, declares certain categories of aid compatible with the common market.</w:t>
      </w:r>
    </w:p>
  </w:footnote>
  <w:footnote w:id="2">
    <w:p w:rsidR="00D95A7A" w:rsidRDefault="00994E53">
      <w:pPr>
        <w:pBdr>
          <w:top w:val="nil"/>
          <w:left w:val="nil"/>
          <w:bottom w:val="nil"/>
          <w:right w:val="nil"/>
          <w:between w:val="nil"/>
        </w:pBdr>
        <w:spacing w:after="120" w:line="240" w:lineRule="auto"/>
        <w:jc w:val="both"/>
        <w:rPr>
          <w:color w:val="000000"/>
          <w:sz w:val="20"/>
          <w:szCs w:val="20"/>
        </w:rPr>
      </w:pPr>
      <w:r>
        <w:rPr>
          <w:vertAlign w:val="superscript"/>
        </w:rPr>
        <w:footnoteRef/>
      </w:r>
      <w:r>
        <w:rPr>
          <w:rFonts w:ascii="Cambria" w:eastAsia="Cambria" w:hAnsi="Cambria" w:cs="Cambria"/>
          <w:color w:val="000000"/>
          <w:sz w:val="18"/>
          <w:szCs w:val="18"/>
        </w:rPr>
        <w:t xml:space="preserve"> </w:t>
      </w:r>
      <w:r>
        <w:rPr>
          <w:sz w:val="18"/>
          <w:szCs w:val="18"/>
        </w:rPr>
        <w:t>Act No. 130/2002 Coll. on the support of research, experimental</w:t>
      </w:r>
      <w:r>
        <w:rPr>
          <w:sz w:val="18"/>
          <w:szCs w:val="18"/>
        </w:rPr>
        <w:t xml:space="preserve"> development and innovation from public funds and amending some related 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A7A" w:rsidRDefault="00994E53">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-719450</wp:posOffset>
          </wp:positionH>
          <wp:positionV relativeFrom="paragraph">
            <wp:posOffset>-228594</wp:posOffset>
          </wp:positionV>
          <wp:extent cx="1439545" cy="143954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A7A" w:rsidRDefault="00D95A7A">
    <w:pPr>
      <w:tabs>
        <w:tab w:val="center" w:pos="4536"/>
        <w:tab w:val="right" w:pos="9072"/>
      </w:tabs>
      <w:spacing w:before="2438"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4156"/>
    <w:multiLevelType w:val="multilevel"/>
    <w:tmpl w:val="A8A67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A7A"/>
    <w:rsid w:val="003A522B"/>
    <w:rsid w:val="00994E53"/>
    <w:rsid w:val="00D95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40168-D5EC-40E1-A8E9-6CB1D107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e6a08rUQHIZETtovqWycqIpEQ==">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3112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Paclíková</dc:creator>
  <cp:lastModifiedBy>Dominika Paclíková</cp:lastModifiedBy>
  <cp:revision>2</cp:revision>
  <dcterms:created xsi:type="dcterms:W3CDTF">2024-03-11T15:51:00Z</dcterms:created>
  <dcterms:modified xsi:type="dcterms:W3CDTF">2024-03-11T15:51:00Z</dcterms:modified>
</cp:coreProperties>
</file>